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A13" w:rsidRPr="00743A13" w:rsidRDefault="00743A13" w:rsidP="00743A13">
      <w:pPr>
        <w:spacing w:line="360" w:lineRule="auto"/>
        <w:jc w:val="center"/>
        <w:rPr>
          <w:rFonts w:ascii="Times New Roman" w:hAnsi="Times New Roman" w:cs="Times New Roman"/>
          <w:b/>
          <w:sz w:val="24"/>
          <w:szCs w:val="24"/>
          <w:lang w:val="ro-RO"/>
        </w:rPr>
      </w:pPr>
      <w:r w:rsidRPr="00743A13">
        <w:rPr>
          <w:rFonts w:ascii="Times New Roman" w:hAnsi="Times New Roman" w:cs="Times New Roman"/>
          <w:b/>
          <w:sz w:val="24"/>
          <w:szCs w:val="24"/>
          <w:lang w:val="ro-RO"/>
        </w:rPr>
        <w:t xml:space="preserve">ORDIN nr. </w:t>
      </w:r>
      <w:r>
        <w:rPr>
          <w:rFonts w:ascii="Times New Roman" w:hAnsi="Times New Roman" w:cs="Times New Roman"/>
          <w:b/>
          <w:sz w:val="24"/>
          <w:szCs w:val="24"/>
          <w:lang w:val="ro-RO"/>
        </w:rPr>
        <w:t xml:space="preserve">        </w:t>
      </w:r>
      <w:r w:rsidRPr="00743A13">
        <w:rPr>
          <w:rFonts w:ascii="Times New Roman" w:hAnsi="Times New Roman" w:cs="Times New Roman"/>
          <w:b/>
          <w:sz w:val="24"/>
          <w:szCs w:val="24"/>
          <w:lang w:val="ro-RO"/>
        </w:rPr>
        <w:t xml:space="preserve">din </w:t>
      </w:r>
    </w:p>
    <w:p w:rsidR="00743A13" w:rsidRPr="00743A13" w:rsidRDefault="00102B49" w:rsidP="00743A13">
      <w:pPr>
        <w:spacing w:line="360" w:lineRule="auto"/>
        <w:jc w:val="center"/>
        <w:rPr>
          <w:rFonts w:ascii="Times New Roman" w:hAnsi="Times New Roman" w:cs="Times New Roman"/>
          <w:b/>
          <w:sz w:val="24"/>
          <w:szCs w:val="24"/>
          <w:lang w:val="ro-RO"/>
        </w:rPr>
      </w:pPr>
      <w:r>
        <w:rPr>
          <w:rFonts w:ascii="Times New Roman" w:hAnsi="Times New Roman" w:cs="Times New Roman"/>
          <w:b/>
          <w:sz w:val="24"/>
          <w:szCs w:val="24"/>
          <w:lang w:val="ro-RO"/>
        </w:rPr>
        <w:t>privind</w:t>
      </w:r>
      <w:r w:rsidRPr="00743A13">
        <w:rPr>
          <w:rFonts w:ascii="Times New Roman" w:hAnsi="Times New Roman" w:cs="Times New Roman"/>
          <w:b/>
          <w:sz w:val="24"/>
          <w:szCs w:val="24"/>
          <w:lang w:val="ro-RO"/>
        </w:rPr>
        <w:t xml:space="preserve"> </w:t>
      </w:r>
      <w:r w:rsidR="00743A13" w:rsidRPr="00743A13">
        <w:rPr>
          <w:rFonts w:ascii="Times New Roman" w:hAnsi="Times New Roman" w:cs="Times New Roman"/>
          <w:b/>
          <w:sz w:val="24"/>
          <w:szCs w:val="24"/>
          <w:lang w:val="ro-RO"/>
        </w:rPr>
        <w:t>modificarea și completarea Metodologiei de  determinare și monitorizare a contribuției pentru cogenerarea de înaltă eficiență, aprobate prin Ordinul preşedintelui Autorităţii Naţionale de Reglementare în Domeniul Energiei nr. 117/2013</w:t>
      </w:r>
    </w:p>
    <w:p w:rsidR="00743A13" w:rsidRPr="00743A13" w:rsidRDefault="00743A13" w:rsidP="00743A13">
      <w:pPr>
        <w:spacing w:line="360" w:lineRule="auto"/>
        <w:jc w:val="center"/>
        <w:rPr>
          <w:rFonts w:ascii="Times New Roman" w:hAnsi="Times New Roman" w:cs="Times New Roman"/>
          <w:b/>
          <w:sz w:val="24"/>
          <w:szCs w:val="24"/>
          <w:lang w:val="ro-RO"/>
        </w:rPr>
      </w:pPr>
    </w:p>
    <w:p w:rsidR="00743A13" w:rsidRPr="00743A13" w:rsidRDefault="00743A13" w:rsidP="00743A13">
      <w:pPr>
        <w:spacing w:line="360" w:lineRule="auto"/>
        <w:jc w:val="both"/>
        <w:rPr>
          <w:rFonts w:ascii="Times New Roman" w:hAnsi="Times New Roman" w:cs="Times New Roman"/>
          <w:b/>
          <w:sz w:val="24"/>
          <w:szCs w:val="24"/>
          <w:lang w:val="ro-RO"/>
        </w:rPr>
      </w:pPr>
    </w:p>
    <w:p w:rsidR="00743A13" w:rsidRPr="00743A13" w:rsidRDefault="00743A13" w:rsidP="00743A13">
      <w:pPr>
        <w:spacing w:line="360" w:lineRule="auto"/>
        <w:jc w:val="both"/>
        <w:rPr>
          <w:rFonts w:ascii="Times New Roman" w:hAnsi="Times New Roman" w:cs="Times New Roman"/>
          <w:sz w:val="24"/>
          <w:szCs w:val="24"/>
          <w:lang w:val="ro-RO"/>
        </w:rPr>
      </w:pPr>
      <w:r w:rsidRPr="00743A13">
        <w:rPr>
          <w:rFonts w:ascii="Times New Roman" w:hAnsi="Times New Roman" w:cs="Times New Roman"/>
          <w:sz w:val="24"/>
          <w:szCs w:val="24"/>
          <w:lang w:val="ro-RO"/>
        </w:rPr>
        <w:tab/>
      </w:r>
      <w:r w:rsidRPr="00743A13">
        <w:rPr>
          <w:rFonts w:ascii="Times New Roman" w:hAnsi="Times New Roman" w:cs="Times New Roman"/>
          <w:sz w:val="24"/>
          <w:szCs w:val="24"/>
          <w:lang w:val="ro-RO"/>
        </w:rPr>
        <w:tab/>
        <w:t xml:space="preserve">Având în vedere prevederile art. 72 alin. (1) din Legea energiei electrice şi a gazelor naturale nr. 123/2012, cu modificările și completările ulterioare, ale art. 6 lit. f) </w:t>
      </w:r>
      <w:r w:rsidR="00102B49">
        <w:rPr>
          <w:rFonts w:ascii="Times New Roman" w:hAnsi="Times New Roman" w:cs="Times New Roman"/>
          <w:sz w:val="24"/>
          <w:szCs w:val="24"/>
          <w:lang w:val="ro-RO"/>
        </w:rPr>
        <w:t>și art. 12 alin</w:t>
      </w:r>
      <w:r w:rsidR="00DC5E50">
        <w:rPr>
          <w:rFonts w:ascii="Times New Roman" w:hAnsi="Times New Roman" w:cs="Times New Roman"/>
          <w:sz w:val="24"/>
          <w:szCs w:val="24"/>
          <w:lang w:val="ro-RO"/>
        </w:rPr>
        <w:t xml:space="preserve">. (2^1) </w:t>
      </w:r>
      <w:r w:rsidRPr="00743A13">
        <w:rPr>
          <w:rFonts w:ascii="Times New Roman" w:hAnsi="Times New Roman" w:cs="Times New Roman"/>
          <w:sz w:val="24"/>
          <w:szCs w:val="24"/>
          <w:lang w:val="ro-RO"/>
        </w:rPr>
        <w:t>din Hotărârea Guvernului nr. 1215/2009 privind stabilirea criteriilor şi a condiţiilor necesare implementării schemei de sprijin pentru promovarea cogenerării de înaltă eficienţă pe baza cererii de energie termică utilă, cu modificările și completările ulterioare, şi ale Ordinului preşedintelui Autorității Naționale de Reglementare în Domeniul Energiei nr. 84/2013 privind aprobarea Metodologiei de determinare și monitorizare a supracompensării activității de producere a energiei electrice și termice în cogenerare de înaltă eficiență care beneficiază de schema de sprijin de tip bonus, cu modificările și completările ulterioare,</w:t>
      </w:r>
    </w:p>
    <w:p w:rsidR="00743A13" w:rsidRDefault="00743A13" w:rsidP="00743A13">
      <w:pPr>
        <w:spacing w:line="360" w:lineRule="auto"/>
        <w:jc w:val="both"/>
        <w:rPr>
          <w:rFonts w:ascii="Times New Roman" w:hAnsi="Times New Roman" w:cs="Times New Roman"/>
          <w:sz w:val="24"/>
          <w:szCs w:val="24"/>
          <w:lang w:val="ro-RO"/>
        </w:rPr>
      </w:pPr>
      <w:r w:rsidRPr="00743A13">
        <w:rPr>
          <w:rFonts w:ascii="Times New Roman" w:hAnsi="Times New Roman" w:cs="Times New Roman"/>
          <w:sz w:val="24"/>
          <w:szCs w:val="24"/>
          <w:lang w:val="ro-RO"/>
        </w:rPr>
        <w:t>în temeiul dispoziţiilor art. 5 alin. (1) lit. b) și art. 9 alin. (1) lit. x) din Ordonanţa de urgenţă a Guvernului nr. 33/2007 privind organizarea şi funcţionarea Autorităţii Naţionale de Reglementare în Domeniul Energiei, aprobată cu modificări şi completǎri prin Legea nr. 160/2012,</w:t>
      </w:r>
      <w:r w:rsidR="00550DB2">
        <w:rPr>
          <w:rFonts w:ascii="Times New Roman" w:hAnsi="Times New Roman" w:cs="Times New Roman"/>
          <w:sz w:val="24"/>
          <w:szCs w:val="24"/>
          <w:lang w:val="ro-RO"/>
        </w:rPr>
        <w:t xml:space="preserve"> cu modificările și completările ulterioare,</w:t>
      </w:r>
    </w:p>
    <w:p w:rsidR="00BE56D8" w:rsidRPr="00743A13" w:rsidRDefault="00BE56D8" w:rsidP="00743A13">
      <w:pPr>
        <w:spacing w:line="360" w:lineRule="auto"/>
        <w:jc w:val="both"/>
        <w:rPr>
          <w:rFonts w:ascii="Times New Roman" w:hAnsi="Times New Roman" w:cs="Times New Roman"/>
          <w:sz w:val="24"/>
          <w:szCs w:val="24"/>
          <w:lang w:val="ro-RO"/>
        </w:rPr>
      </w:pPr>
    </w:p>
    <w:p w:rsidR="00743A13" w:rsidRDefault="00743A13" w:rsidP="00743A13">
      <w:pPr>
        <w:spacing w:line="360" w:lineRule="auto"/>
        <w:jc w:val="both"/>
        <w:rPr>
          <w:rFonts w:ascii="Times New Roman" w:hAnsi="Times New Roman" w:cs="Times New Roman"/>
          <w:b/>
          <w:sz w:val="24"/>
          <w:szCs w:val="24"/>
          <w:lang w:val="ro-RO"/>
        </w:rPr>
      </w:pPr>
      <w:r w:rsidRPr="00743A13">
        <w:rPr>
          <w:rFonts w:ascii="Times New Roman" w:hAnsi="Times New Roman" w:cs="Times New Roman"/>
          <w:b/>
          <w:sz w:val="24"/>
          <w:szCs w:val="24"/>
          <w:lang w:val="ro-RO"/>
        </w:rPr>
        <w:t>preşedintele Autorităţii Naţionale de Reglementare în Domeniul Energiei emite următorul ordin:</w:t>
      </w:r>
    </w:p>
    <w:p w:rsidR="00BE56D8" w:rsidRPr="00743A13" w:rsidRDefault="00BE56D8" w:rsidP="00743A13">
      <w:pPr>
        <w:spacing w:line="360" w:lineRule="auto"/>
        <w:jc w:val="both"/>
        <w:rPr>
          <w:rFonts w:ascii="Times New Roman" w:hAnsi="Times New Roman" w:cs="Times New Roman"/>
          <w:b/>
          <w:sz w:val="24"/>
          <w:szCs w:val="24"/>
          <w:lang w:val="ro-RO"/>
        </w:rPr>
      </w:pPr>
    </w:p>
    <w:p w:rsidR="00452D69" w:rsidRPr="00550DB2" w:rsidRDefault="00452D69" w:rsidP="00550DB2">
      <w:pPr>
        <w:pStyle w:val="ListParagraph"/>
        <w:numPr>
          <w:ilvl w:val="0"/>
          <w:numId w:val="2"/>
        </w:numPr>
        <w:spacing w:line="360" w:lineRule="auto"/>
        <w:jc w:val="both"/>
        <w:rPr>
          <w:rFonts w:ascii="Times New Roman" w:hAnsi="Times New Roman" w:cs="Times New Roman"/>
          <w:sz w:val="24"/>
          <w:szCs w:val="24"/>
          <w:lang w:val="ro-RO"/>
        </w:rPr>
      </w:pPr>
      <w:r w:rsidRPr="00550DB2">
        <w:rPr>
          <w:rFonts w:ascii="Times New Roman" w:hAnsi="Times New Roman" w:cs="Times New Roman"/>
          <w:sz w:val="24"/>
          <w:szCs w:val="24"/>
          <w:lang w:val="ro-RO"/>
        </w:rPr>
        <w:t xml:space="preserve"> </w:t>
      </w:r>
      <w:r w:rsidR="00C472F6" w:rsidRPr="00550DB2">
        <w:rPr>
          <w:rFonts w:ascii="Times New Roman" w:hAnsi="Times New Roman" w:cs="Times New Roman"/>
          <w:sz w:val="24"/>
          <w:szCs w:val="24"/>
          <w:lang w:val="ro-RO"/>
        </w:rPr>
        <w:t>- Metodologia de determinare și monitorizare a contribuției pentru cogenerarea de înaltă eficiență, aprobată prin</w:t>
      </w:r>
      <w:r w:rsidR="00C472F6" w:rsidRPr="00550DB2">
        <w:rPr>
          <w:rFonts w:ascii="Times New Roman" w:hAnsi="Times New Roman" w:cs="Times New Roman"/>
          <w:sz w:val="24"/>
          <w:szCs w:val="24"/>
        </w:rPr>
        <w:t xml:space="preserve"> </w:t>
      </w:r>
      <w:r w:rsidR="00C472F6" w:rsidRPr="00550DB2">
        <w:rPr>
          <w:rFonts w:ascii="Times New Roman" w:hAnsi="Times New Roman" w:cs="Times New Roman"/>
          <w:sz w:val="24"/>
          <w:szCs w:val="24"/>
          <w:lang w:val="ro-RO"/>
        </w:rPr>
        <w:t>Ordinul preşedintelui Autorității Naționale de Reglementare în Domeniul Energiei nr. 117/2013, publicat în Monitorul Oficial al României, Partea I, nr. 826 din 23 decembrie 2013</w:t>
      </w:r>
      <w:r w:rsidR="000B6EB8" w:rsidRPr="00550DB2">
        <w:rPr>
          <w:rFonts w:ascii="Times New Roman" w:hAnsi="Times New Roman" w:cs="Times New Roman"/>
          <w:sz w:val="24"/>
          <w:szCs w:val="24"/>
          <w:lang w:val="ro-RO"/>
        </w:rPr>
        <w:t>, se modifică</w:t>
      </w:r>
      <w:r w:rsidR="00C472F6" w:rsidRPr="00550DB2">
        <w:rPr>
          <w:rFonts w:ascii="Times New Roman" w:hAnsi="Times New Roman" w:cs="Times New Roman"/>
          <w:sz w:val="24"/>
          <w:szCs w:val="24"/>
          <w:lang w:val="ro-RO"/>
        </w:rPr>
        <w:t xml:space="preserve"> </w:t>
      </w:r>
      <w:r w:rsidR="00DC5E50">
        <w:rPr>
          <w:rFonts w:ascii="Times New Roman" w:hAnsi="Times New Roman" w:cs="Times New Roman"/>
          <w:sz w:val="24"/>
          <w:szCs w:val="24"/>
          <w:lang w:val="ro-RO"/>
        </w:rPr>
        <w:t xml:space="preserve">și se completează </w:t>
      </w:r>
      <w:r w:rsidR="00C472F6" w:rsidRPr="00550DB2">
        <w:rPr>
          <w:rFonts w:ascii="Times New Roman" w:hAnsi="Times New Roman" w:cs="Times New Roman"/>
          <w:sz w:val="24"/>
          <w:szCs w:val="24"/>
          <w:lang w:val="ro-RO"/>
        </w:rPr>
        <w:t>după cum urmează</w:t>
      </w:r>
      <w:r w:rsidR="000B6EB8" w:rsidRPr="00550DB2">
        <w:rPr>
          <w:rFonts w:ascii="Times New Roman" w:hAnsi="Times New Roman" w:cs="Times New Roman"/>
          <w:sz w:val="24"/>
          <w:szCs w:val="24"/>
          <w:lang w:val="ro-RO"/>
        </w:rPr>
        <w:t>:</w:t>
      </w:r>
    </w:p>
    <w:p w:rsidR="000B6EB8" w:rsidRDefault="000B6EB8" w:rsidP="005C37F8">
      <w:pPr>
        <w:pStyle w:val="ListParagraph"/>
        <w:numPr>
          <w:ilvl w:val="0"/>
          <w:numId w:val="1"/>
        </w:numPr>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La articolul 14, după alineatul 2 se introduce un alineat nou, alineatul </w:t>
      </w:r>
      <w:r w:rsidRPr="000B6EB8">
        <w:rPr>
          <w:rFonts w:ascii="Times New Roman" w:hAnsi="Times New Roman" w:cs="Times New Roman"/>
          <w:sz w:val="24"/>
          <w:szCs w:val="24"/>
          <w:lang w:val="ro-RO"/>
        </w:rPr>
        <w:t>(2</w:t>
      </w:r>
      <w:r w:rsidRPr="000B6EB8">
        <w:rPr>
          <w:rFonts w:ascii="Times New Roman" w:hAnsi="Times New Roman" w:cs="Times New Roman"/>
          <w:sz w:val="24"/>
          <w:szCs w:val="24"/>
          <w:vertAlign w:val="superscript"/>
          <w:lang w:val="ro-RO"/>
        </w:rPr>
        <w:t>1</w:t>
      </w:r>
      <w:r w:rsidRPr="000B6EB8">
        <w:rPr>
          <w:rFonts w:ascii="Times New Roman" w:hAnsi="Times New Roman" w:cs="Times New Roman"/>
          <w:sz w:val="24"/>
          <w:szCs w:val="24"/>
          <w:lang w:val="ro-RO"/>
        </w:rPr>
        <w:t>)</w:t>
      </w:r>
      <w:r>
        <w:rPr>
          <w:rFonts w:ascii="Times New Roman" w:hAnsi="Times New Roman" w:cs="Times New Roman"/>
          <w:sz w:val="24"/>
          <w:szCs w:val="24"/>
          <w:lang w:val="ro-RO"/>
        </w:rPr>
        <w:t>, cu următorul cuprins:</w:t>
      </w:r>
    </w:p>
    <w:p w:rsidR="000B6EB8" w:rsidRDefault="000B6EB8" w:rsidP="005C37F8">
      <w:pPr>
        <w:spacing w:line="360" w:lineRule="auto"/>
        <w:jc w:val="both"/>
        <w:rPr>
          <w:rFonts w:ascii="Times New Roman" w:hAnsi="Times New Roman" w:cs="Times New Roman"/>
          <w:sz w:val="24"/>
          <w:szCs w:val="24"/>
          <w:lang w:val="ro-RO"/>
        </w:rPr>
      </w:pPr>
      <w:r w:rsidRPr="00E534BD">
        <w:rPr>
          <w:rFonts w:ascii="Times New Roman" w:hAnsi="Times New Roman" w:cs="Times New Roman"/>
          <w:sz w:val="24"/>
          <w:szCs w:val="24"/>
          <w:lang w:val="ro-RO"/>
        </w:rPr>
        <w:t>(2</w:t>
      </w:r>
      <w:r w:rsidRPr="00E534BD">
        <w:rPr>
          <w:rFonts w:ascii="Times New Roman" w:hAnsi="Times New Roman" w:cs="Times New Roman"/>
          <w:sz w:val="24"/>
          <w:szCs w:val="24"/>
          <w:vertAlign w:val="superscript"/>
          <w:lang w:val="ro-RO"/>
        </w:rPr>
        <w:t>1</w:t>
      </w:r>
      <w:r w:rsidRPr="00E534BD">
        <w:rPr>
          <w:rFonts w:ascii="Times New Roman" w:hAnsi="Times New Roman" w:cs="Times New Roman"/>
          <w:sz w:val="24"/>
          <w:szCs w:val="24"/>
          <w:lang w:val="ro-RO"/>
        </w:rPr>
        <w:t>)</w:t>
      </w:r>
      <w:r w:rsidR="00E534BD">
        <w:rPr>
          <w:rFonts w:ascii="Times New Roman" w:hAnsi="Times New Roman" w:cs="Times New Roman"/>
          <w:sz w:val="24"/>
          <w:szCs w:val="24"/>
          <w:lang w:val="ro-RO"/>
        </w:rPr>
        <w:t xml:space="preserve"> </w:t>
      </w:r>
      <w:r w:rsidRPr="00E534BD">
        <w:rPr>
          <w:rFonts w:ascii="Times New Roman" w:hAnsi="Times New Roman" w:cs="Times New Roman"/>
          <w:sz w:val="24"/>
          <w:szCs w:val="24"/>
          <w:lang w:val="ro-RO"/>
        </w:rPr>
        <w:t>Prin excepție de la prevederile alin. (1)</w:t>
      </w:r>
      <w:r w:rsidR="00E534BD">
        <w:rPr>
          <w:rFonts w:ascii="Times New Roman" w:hAnsi="Times New Roman" w:cs="Times New Roman"/>
          <w:sz w:val="24"/>
          <w:szCs w:val="24"/>
          <w:lang w:val="ro-RO"/>
        </w:rPr>
        <w:t>,</w:t>
      </w:r>
      <w:r w:rsidRPr="00E534BD">
        <w:rPr>
          <w:rFonts w:ascii="Times New Roman" w:hAnsi="Times New Roman" w:cs="Times New Roman"/>
          <w:sz w:val="24"/>
          <w:szCs w:val="24"/>
          <w:lang w:val="ro-RO"/>
        </w:rPr>
        <w:t xml:space="preserve"> în cazul în care se constată pentru anul t+1 o creștere semnificativă a contribuției, ANRE poate estima în determinarea </w:t>
      </w:r>
      <w:r w:rsidR="00E534BD">
        <w:rPr>
          <w:rFonts w:ascii="Times New Roman" w:hAnsi="Times New Roman" w:cs="Times New Roman"/>
          <w:sz w:val="24"/>
          <w:szCs w:val="24"/>
          <w:lang w:val="ro-RO"/>
        </w:rPr>
        <w:t>contribuției</w:t>
      </w:r>
      <w:r w:rsidRPr="00E534BD">
        <w:rPr>
          <w:rFonts w:ascii="Times New Roman" w:hAnsi="Times New Roman" w:cs="Times New Roman"/>
          <w:sz w:val="24"/>
          <w:szCs w:val="24"/>
          <w:lang w:val="ro-RO"/>
        </w:rPr>
        <w:t xml:space="preserve"> </w:t>
      </w:r>
      <w:r w:rsidR="001D6258">
        <w:rPr>
          <w:rFonts w:ascii="Times New Roman" w:hAnsi="Times New Roman" w:cs="Times New Roman"/>
          <w:sz w:val="24"/>
          <w:szCs w:val="24"/>
          <w:lang w:val="ro-RO"/>
        </w:rPr>
        <w:t xml:space="preserve">pentru cogenerarea de înaltă eficiență </w:t>
      </w:r>
      <w:r w:rsidRPr="00E534BD">
        <w:rPr>
          <w:rFonts w:ascii="Times New Roman" w:hAnsi="Times New Roman" w:cs="Times New Roman"/>
          <w:sz w:val="24"/>
          <w:szCs w:val="24"/>
          <w:lang w:val="ro-RO"/>
        </w:rPr>
        <w:t>o supracompensare pentru anul t, pe baza datelor statistice privind supracompensarea, care nu poate depăși 50% din valoarea ultimei supracompensări. Supracompensarea estimată pentru anul t se regularizează la evaluarea efectuată de către ANRE în luna iunie a anului t+1 pentru ajustarea contribuției pentru semestrul II.</w:t>
      </w:r>
    </w:p>
    <w:p w:rsidR="001669B9" w:rsidRDefault="001669B9" w:rsidP="00FE6B43">
      <w:pPr>
        <w:pStyle w:val="ListParagraph"/>
        <w:numPr>
          <w:ilvl w:val="0"/>
          <w:numId w:val="1"/>
        </w:numPr>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După articolul 23, se introduce un articol nou, articolul 23</w:t>
      </w:r>
      <w:r>
        <w:rPr>
          <w:rFonts w:ascii="Times New Roman" w:hAnsi="Times New Roman" w:cs="Times New Roman"/>
          <w:sz w:val="24"/>
          <w:szCs w:val="24"/>
          <w:vertAlign w:val="superscript"/>
          <w:lang w:val="ro-RO"/>
        </w:rPr>
        <w:t>1</w:t>
      </w:r>
      <w:r>
        <w:rPr>
          <w:rFonts w:ascii="Times New Roman" w:hAnsi="Times New Roman" w:cs="Times New Roman"/>
          <w:sz w:val="24"/>
          <w:szCs w:val="24"/>
          <w:lang w:val="ro-RO"/>
        </w:rPr>
        <w:t>, cu următorul cuprins:</w:t>
      </w:r>
    </w:p>
    <w:p w:rsidR="001669B9" w:rsidRPr="00FE6B43" w:rsidRDefault="001669B9" w:rsidP="00FE6B43">
      <w:pPr>
        <w:spacing w:after="0"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Art. 23</w:t>
      </w:r>
      <w:r>
        <w:rPr>
          <w:rFonts w:ascii="Times New Roman" w:hAnsi="Times New Roman" w:cs="Times New Roman"/>
          <w:sz w:val="24"/>
          <w:szCs w:val="24"/>
          <w:vertAlign w:val="superscript"/>
          <w:lang w:val="ro-RO"/>
        </w:rPr>
        <w:t>1</w:t>
      </w:r>
      <w:r>
        <w:rPr>
          <w:rFonts w:ascii="Times New Roman" w:hAnsi="Times New Roman" w:cs="Times New Roman"/>
          <w:sz w:val="24"/>
          <w:szCs w:val="24"/>
          <w:lang w:val="ro-RO"/>
        </w:rPr>
        <w:t xml:space="preserve"> - </w:t>
      </w:r>
      <w:r w:rsidRPr="00FE6B43">
        <w:rPr>
          <w:rFonts w:ascii="Times New Roman" w:hAnsi="Times New Roman" w:cs="Times New Roman"/>
          <w:sz w:val="24"/>
          <w:szCs w:val="24"/>
          <w:lang w:val="ro-RO"/>
        </w:rPr>
        <w:t xml:space="preserve">(1) ANRE, până la data </w:t>
      </w:r>
      <w:r w:rsidR="005027F5" w:rsidRPr="005027F5">
        <w:rPr>
          <w:rFonts w:ascii="Times New Roman" w:hAnsi="Times New Roman" w:cs="Times New Roman"/>
          <w:sz w:val="24"/>
          <w:szCs w:val="24"/>
          <w:lang w:val="ro-RO"/>
        </w:rPr>
        <w:t xml:space="preserve">de 25 octombrie a fiecărui an, </w:t>
      </w:r>
      <w:r w:rsidR="009A054B">
        <w:rPr>
          <w:rFonts w:ascii="Times New Roman" w:hAnsi="Times New Roman" w:cs="Times New Roman"/>
          <w:sz w:val="24"/>
          <w:szCs w:val="24"/>
          <w:lang w:val="ro-RO"/>
        </w:rPr>
        <w:t xml:space="preserve">stabilește </w:t>
      </w:r>
      <w:r w:rsidRPr="00FE6B43">
        <w:rPr>
          <w:rFonts w:ascii="Times New Roman" w:hAnsi="Times New Roman" w:cs="Times New Roman"/>
          <w:sz w:val="24"/>
          <w:szCs w:val="24"/>
          <w:lang w:val="ro-RO"/>
        </w:rPr>
        <w:t xml:space="preserve">contribuția pentru cogenerarea de înaltă eficiență aplicabilă în perioada noiembrie – decembrie a anului curent. </w:t>
      </w:r>
    </w:p>
    <w:p w:rsidR="00430715" w:rsidRDefault="001669B9" w:rsidP="00FE6B43">
      <w:pPr>
        <w:pStyle w:val="ListParagraph"/>
        <w:spacing w:after="0" w:line="360" w:lineRule="auto"/>
        <w:ind w:left="0"/>
        <w:jc w:val="both"/>
        <w:rPr>
          <w:rFonts w:ascii="Times New Roman" w:hAnsi="Times New Roman" w:cs="Times New Roman"/>
          <w:sz w:val="24"/>
          <w:szCs w:val="24"/>
          <w:lang w:val="ro-RO"/>
        </w:rPr>
      </w:pPr>
      <w:r w:rsidRPr="001669B9">
        <w:rPr>
          <w:rFonts w:ascii="Times New Roman" w:hAnsi="Times New Roman" w:cs="Times New Roman"/>
          <w:sz w:val="24"/>
          <w:szCs w:val="24"/>
          <w:lang w:val="ro-RO"/>
        </w:rPr>
        <w:t>(</w:t>
      </w:r>
      <w:r w:rsidR="00430715" w:rsidRPr="00430715">
        <w:rPr>
          <w:rFonts w:ascii="Times New Roman" w:hAnsi="Times New Roman" w:cs="Times New Roman"/>
          <w:sz w:val="24"/>
          <w:szCs w:val="24"/>
          <w:lang w:val="ro-RO"/>
        </w:rPr>
        <w:t>2) Contribuția pentru cogenerarea de înaltă eficiență se stabilește pe baza contribuției în vigoare, la care se adaugă variația necesarului de venituri</w:t>
      </w:r>
      <w:r w:rsidR="009770D2">
        <w:rPr>
          <w:rFonts w:ascii="Times New Roman" w:hAnsi="Times New Roman" w:cs="Times New Roman"/>
          <w:sz w:val="24"/>
          <w:szCs w:val="24"/>
          <w:lang w:val="ro-RO"/>
        </w:rPr>
        <w:t>,</w:t>
      </w:r>
      <w:r w:rsidR="00430715" w:rsidRPr="00430715">
        <w:rPr>
          <w:rFonts w:ascii="Times New Roman" w:hAnsi="Times New Roman" w:cs="Times New Roman"/>
          <w:sz w:val="24"/>
          <w:szCs w:val="24"/>
          <w:lang w:val="ro-RO"/>
        </w:rPr>
        <w:t xml:space="preserve"> rezultat în urma determinării bonusurilor de referință pentru perioada noiembrie-decembrie, raportat la energia electrică estimată pentru aceeași perioadă la care se aplică contribuția. </w:t>
      </w:r>
    </w:p>
    <w:p w:rsidR="00430715" w:rsidRPr="00430715" w:rsidRDefault="00430715" w:rsidP="00FE6B43">
      <w:pPr>
        <w:pStyle w:val="ListParagraph"/>
        <w:spacing w:after="0" w:line="360" w:lineRule="auto"/>
        <w:ind w:left="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(3) Pentru perioada precizată la </w:t>
      </w:r>
      <w:r w:rsidR="009770D2">
        <w:rPr>
          <w:rFonts w:ascii="Times New Roman" w:hAnsi="Times New Roman" w:cs="Times New Roman"/>
          <w:sz w:val="24"/>
          <w:szCs w:val="24"/>
          <w:lang w:val="ro-RO"/>
        </w:rPr>
        <w:t>alin. (1), c</w:t>
      </w:r>
      <w:r w:rsidRPr="00430715">
        <w:rPr>
          <w:rFonts w:ascii="Times New Roman" w:hAnsi="Times New Roman" w:cs="Times New Roman"/>
          <w:sz w:val="24"/>
          <w:szCs w:val="24"/>
          <w:lang w:val="ro-RO"/>
        </w:rPr>
        <w:t>antitățile de energie electrică care beneficiază de bonus, respectiv cantitatea de energie electrică</w:t>
      </w:r>
      <w:r w:rsidR="003B7B54">
        <w:rPr>
          <w:rFonts w:ascii="Times New Roman" w:hAnsi="Times New Roman" w:cs="Times New Roman"/>
          <w:sz w:val="24"/>
          <w:szCs w:val="24"/>
          <w:lang w:val="ro-RO"/>
        </w:rPr>
        <w:t>,</w:t>
      </w:r>
      <w:r w:rsidRPr="00430715">
        <w:rPr>
          <w:rFonts w:ascii="Times New Roman" w:hAnsi="Times New Roman" w:cs="Times New Roman"/>
          <w:sz w:val="24"/>
          <w:szCs w:val="24"/>
          <w:lang w:val="ro-RO"/>
        </w:rPr>
        <w:t xml:space="preserve"> la care se aplică contribuția se estimează pe baza datelor din anul anterior</w:t>
      </w:r>
      <w:r w:rsidR="009770D2">
        <w:rPr>
          <w:rFonts w:ascii="Times New Roman" w:hAnsi="Times New Roman" w:cs="Times New Roman"/>
          <w:sz w:val="24"/>
          <w:szCs w:val="24"/>
          <w:lang w:val="ro-RO"/>
        </w:rPr>
        <w:t>.</w:t>
      </w:r>
    </w:p>
    <w:p w:rsidR="00DC5E50" w:rsidRDefault="00FE6B43" w:rsidP="00FE6B43">
      <w:pPr>
        <w:pStyle w:val="ListParagraph"/>
        <w:spacing w:line="360" w:lineRule="auto"/>
        <w:ind w:left="0"/>
        <w:jc w:val="both"/>
        <w:rPr>
          <w:rFonts w:ascii="Times New Roman" w:hAnsi="Times New Roman" w:cs="Times New Roman"/>
          <w:sz w:val="24"/>
          <w:szCs w:val="24"/>
          <w:lang w:val="ro-RO"/>
        </w:rPr>
      </w:pPr>
      <w:r w:rsidRPr="001669B9">
        <w:rPr>
          <w:rFonts w:ascii="Times New Roman" w:hAnsi="Times New Roman" w:cs="Times New Roman"/>
          <w:sz w:val="24"/>
          <w:szCs w:val="24"/>
          <w:lang w:val="ro-RO"/>
        </w:rPr>
        <w:t xml:space="preserve"> </w:t>
      </w:r>
      <w:r w:rsidR="001669B9" w:rsidRPr="001669B9">
        <w:rPr>
          <w:rFonts w:ascii="Times New Roman" w:hAnsi="Times New Roman" w:cs="Times New Roman"/>
          <w:sz w:val="24"/>
          <w:szCs w:val="24"/>
          <w:lang w:val="ro-RO"/>
        </w:rPr>
        <w:t>(</w:t>
      </w:r>
      <w:r w:rsidR="00BE56D8">
        <w:rPr>
          <w:rFonts w:ascii="Times New Roman" w:hAnsi="Times New Roman" w:cs="Times New Roman"/>
          <w:sz w:val="24"/>
          <w:szCs w:val="24"/>
          <w:lang w:val="ro-RO"/>
        </w:rPr>
        <w:t>4</w:t>
      </w:r>
      <w:r w:rsidR="001669B9" w:rsidRPr="001669B9">
        <w:rPr>
          <w:rFonts w:ascii="Times New Roman" w:hAnsi="Times New Roman" w:cs="Times New Roman"/>
          <w:sz w:val="24"/>
          <w:szCs w:val="24"/>
          <w:lang w:val="ro-RO"/>
        </w:rPr>
        <w:t xml:space="preserve">) Contribuția pentru cogenerarea de înaltă eficiență </w:t>
      </w:r>
      <w:r w:rsidR="00551DAD">
        <w:rPr>
          <w:rFonts w:ascii="Times New Roman" w:hAnsi="Times New Roman" w:cs="Times New Roman"/>
          <w:sz w:val="24"/>
          <w:szCs w:val="24"/>
          <w:lang w:val="ro-RO"/>
        </w:rPr>
        <w:t xml:space="preserve">stabilită </w:t>
      </w:r>
      <w:r w:rsidR="001669B9" w:rsidRPr="001669B9">
        <w:rPr>
          <w:rFonts w:ascii="Times New Roman" w:hAnsi="Times New Roman" w:cs="Times New Roman"/>
          <w:sz w:val="24"/>
          <w:szCs w:val="24"/>
          <w:lang w:val="ro-RO"/>
        </w:rPr>
        <w:t>în conformitate cu alin. (2) se aprobă prin ordin al președintelui ANRE.</w:t>
      </w:r>
      <w:r w:rsidR="00DC5E50">
        <w:rPr>
          <w:rFonts w:ascii="Times New Roman" w:hAnsi="Times New Roman" w:cs="Times New Roman"/>
          <w:sz w:val="24"/>
          <w:szCs w:val="24"/>
          <w:lang w:val="ro-RO"/>
        </w:rPr>
        <w:t xml:space="preserve"> </w:t>
      </w:r>
    </w:p>
    <w:p w:rsidR="00952F8E" w:rsidRDefault="00952F8E" w:rsidP="00FE6B43">
      <w:pPr>
        <w:pStyle w:val="ListParagraph"/>
        <w:spacing w:line="360" w:lineRule="auto"/>
        <w:jc w:val="both"/>
        <w:rPr>
          <w:rFonts w:ascii="Times New Roman" w:hAnsi="Times New Roman" w:cs="Times New Roman"/>
          <w:sz w:val="24"/>
          <w:szCs w:val="24"/>
          <w:lang w:val="ro-RO"/>
        </w:rPr>
      </w:pPr>
    </w:p>
    <w:p w:rsidR="00765F13" w:rsidRDefault="00E44751" w:rsidP="00FE6B43">
      <w:pPr>
        <w:pStyle w:val="ListParagraph"/>
        <w:numPr>
          <w:ilvl w:val="0"/>
          <w:numId w:val="2"/>
        </w:numPr>
        <w:spacing w:line="360" w:lineRule="auto"/>
        <w:jc w:val="both"/>
        <w:rPr>
          <w:rFonts w:ascii="Times New Roman" w:hAnsi="Times New Roman" w:cs="Times New Roman"/>
          <w:sz w:val="24"/>
          <w:szCs w:val="24"/>
          <w:lang w:val="ro-RO"/>
        </w:rPr>
      </w:pPr>
      <w:r w:rsidRPr="00FE6B43">
        <w:rPr>
          <w:rFonts w:ascii="Times New Roman" w:hAnsi="Times New Roman" w:cs="Times New Roman"/>
          <w:sz w:val="24"/>
          <w:szCs w:val="24"/>
          <w:lang w:val="ro-RO"/>
        </w:rPr>
        <w:t>Pentru</w:t>
      </w:r>
      <w:r w:rsidR="00412486">
        <w:rPr>
          <w:rFonts w:ascii="Times New Roman" w:hAnsi="Times New Roman" w:cs="Times New Roman"/>
          <w:sz w:val="24"/>
          <w:szCs w:val="24"/>
          <w:lang w:val="ro-RO"/>
        </w:rPr>
        <w:t xml:space="preserve"> anul 2018 prevederile</w:t>
      </w:r>
      <w:r w:rsidRPr="00FE6B43">
        <w:rPr>
          <w:rFonts w:ascii="Times New Roman" w:hAnsi="Times New Roman" w:cs="Times New Roman"/>
          <w:sz w:val="24"/>
          <w:szCs w:val="24"/>
          <w:lang w:val="ro-RO"/>
        </w:rPr>
        <w:t xml:space="preserve"> </w:t>
      </w:r>
      <w:r w:rsidR="00765F13" w:rsidRPr="00FE6B43">
        <w:rPr>
          <w:rFonts w:ascii="Times New Roman" w:hAnsi="Times New Roman" w:cs="Times New Roman"/>
          <w:sz w:val="24"/>
          <w:szCs w:val="24"/>
          <w:lang w:val="ro-RO"/>
        </w:rPr>
        <w:t xml:space="preserve">art. </w:t>
      </w:r>
      <w:r w:rsidR="00765F13">
        <w:rPr>
          <w:rFonts w:ascii="Times New Roman" w:hAnsi="Times New Roman" w:cs="Times New Roman"/>
          <w:sz w:val="24"/>
          <w:szCs w:val="24"/>
          <w:lang w:val="ro-RO"/>
        </w:rPr>
        <w:t>23</w:t>
      </w:r>
      <w:r w:rsidR="00765F13" w:rsidRPr="00551934">
        <w:rPr>
          <w:rFonts w:ascii="Times New Roman" w:hAnsi="Times New Roman" w:cs="Times New Roman"/>
          <w:sz w:val="24"/>
          <w:szCs w:val="24"/>
          <w:vertAlign w:val="superscript"/>
          <w:lang w:val="ro-RO"/>
        </w:rPr>
        <w:t>1</w:t>
      </w:r>
      <w:r w:rsidR="00765F13">
        <w:rPr>
          <w:rFonts w:ascii="Times New Roman" w:hAnsi="Times New Roman" w:cs="Times New Roman"/>
          <w:sz w:val="24"/>
          <w:szCs w:val="24"/>
          <w:lang w:val="ro-RO"/>
        </w:rPr>
        <w:t xml:space="preserve"> din </w:t>
      </w:r>
      <w:r w:rsidR="00765F13" w:rsidRPr="00FE6B43">
        <w:rPr>
          <w:rFonts w:ascii="Times New Roman" w:hAnsi="Times New Roman" w:cs="Times New Roman"/>
          <w:sz w:val="24"/>
          <w:szCs w:val="24"/>
          <w:lang w:val="ro-RO"/>
        </w:rPr>
        <w:t>Metodologi</w:t>
      </w:r>
      <w:r w:rsidR="00551934">
        <w:rPr>
          <w:rFonts w:ascii="Times New Roman" w:hAnsi="Times New Roman" w:cs="Times New Roman"/>
          <w:sz w:val="24"/>
          <w:szCs w:val="24"/>
          <w:lang w:val="ro-RO"/>
        </w:rPr>
        <w:t>a</w:t>
      </w:r>
      <w:r w:rsidR="00765F13" w:rsidRPr="00FE6B43">
        <w:rPr>
          <w:rFonts w:ascii="Times New Roman" w:hAnsi="Times New Roman" w:cs="Times New Roman"/>
          <w:sz w:val="24"/>
          <w:szCs w:val="24"/>
          <w:lang w:val="ro-RO"/>
        </w:rPr>
        <w:t xml:space="preserve"> de  determinare și monitorizare a contribuției pentru cogenerarea de înaltă eficiență, aprobate prin Ordinul preşedintelui Autorităţii Naţionale de Reglementare în Domeniul Energiei nr. 117/2013</w:t>
      </w:r>
      <w:r w:rsidR="008B760E">
        <w:rPr>
          <w:rFonts w:ascii="Times New Roman" w:hAnsi="Times New Roman" w:cs="Times New Roman"/>
          <w:sz w:val="24"/>
          <w:szCs w:val="24"/>
          <w:lang w:val="ro-RO"/>
        </w:rPr>
        <w:t xml:space="preserve">, cu modificările și completările ulterioare, </w:t>
      </w:r>
      <w:r>
        <w:rPr>
          <w:rFonts w:ascii="Times New Roman" w:hAnsi="Times New Roman" w:cs="Times New Roman"/>
          <w:sz w:val="24"/>
          <w:szCs w:val="24"/>
          <w:lang w:val="ro-RO"/>
        </w:rPr>
        <w:t xml:space="preserve">se aplică </w:t>
      </w:r>
      <w:r w:rsidR="00412486">
        <w:rPr>
          <w:rFonts w:ascii="Times New Roman" w:hAnsi="Times New Roman" w:cs="Times New Roman"/>
          <w:sz w:val="24"/>
          <w:szCs w:val="24"/>
          <w:lang w:val="ro-RO"/>
        </w:rPr>
        <w:t>pe perioada 20 noiembrie-31 decembrie.</w:t>
      </w:r>
    </w:p>
    <w:p w:rsidR="002D121C" w:rsidRPr="004A6EB4" w:rsidRDefault="002D121C" w:rsidP="00FE6B43">
      <w:pPr>
        <w:pStyle w:val="ListParagraph"/>
        <w:spacing w:line="360" w:lineRule="auto"/>
        <w:jc w:val="both"/>
        <w:rPr>
          <w:rFonts w:ascii="Times New Roman" w:hAnsi="Times New Roman" w:cs="Times New Roman"/>
          <w:sz w:val="24"/>
          <w:szCs w:val="24"/>
          <w:lang w:val="ro-RO"/>
        </w:rPr>
      </w:pPr>
      <w:bookmarkStart w:id="0" w:name="_GoBack"/>
    </w:p>
    <w:bookmarkEnd w:id="0"/>
    <w:p w:rsidR="00550DB2" w:rsidRDefault="00550DB2" w:rsidP="00550DB2">
      <w:pPr>
        <w:pStyle w:val="ListParagraph"/>
        <w:numPr>
          <w:ilvl w:val="0"/>
          <w:numId w:val="2"/>
        </w:numPr>
        <w:spacing w:line="360" w:lineRule="auto"/>
        <w:jc w:val="both"/>
        <w:rPr>
          <w:rFonts w:ascii="Times New Roman" w:hAnsi="Times New Roman" w:cs="Times New Roman"/>
          <w:sz w:val="24"/>
          <w:szCs w:val="24"/>
          <w:lang w:val="ro-RO"/>
        </w:rPr>
      </w:pPr>
      <w:r w:rsidRPr="00550DB2">
        <w:rPr>
          <w:rFonts w:ascii="Times New Roman" w:hAnsi="Times New Roman" w:cs="Times New Roman"/>
          <w:sz w:val="24"/>
          <w:szCs w:val="24"/>
          <w:lang w:val="ro-RO"/>
        </w:rPr>
        <w:t xml:space="preserve"> - Compania Națională de Transport al Energiei Electrice ”Transelectrica” – S.A., producătorii de energie electrică, furnizorii de energie electrică vor duce la îndeplinire prevederile prezentului ordin.</w:t>
      </w:r>
    </w:p>
    <w:p w:rsidR="00BE56D8" w:rsidRPr="00BE56D8" w:rsidRDefault="00BE56D8" w:rsidP="00BE56D8">
      <w:pPr>
        <w:pStyle w:val="ListParagraph"/>
        <w:rPr>
          <w:rFonts w:ascii="Times New Roman" w:hAnsi="Times New Roman" w:cs="Times New Roman"/>
          <w:sz w:val="24"/>
          <w:szCs w:val="24"/>
          <w:lang w:val="ro-RO"/>
        </w:rPr>
      </w:pPr>
    </w:p>
    <w:p w:rsidR="00550DB2" w:rsidRDefault="00550DB2" w:rsidP="00550DB2">
      <w:pPr>
        <w:pStyle w:val="ListParagraph"/>
        <w:numPr>
          <w:ilvl w:val="0"/>
          <w:numId w:val="2"/>
        </w:numPr>
        <w:spacing w:line="360" w:lineRule="auto"/>
        <w:jc w:val="both"/>
        <w:rPr>
          <w:rFonts w:ascii="Times New Roman" w:hAnsi="Times New Roman" w:cs="Times New Roman"/>
          <w:sz w:val="24"/>
          <w:szCs w:val="24"/>
          <w:lang w:val="ro-RO"/>
        </w:rPr>
      </w:pPr>
      <w:r w:rsidRPr="00550DB2">
        <w:rPr>
          <w:rFonts w:ascii="Times New Roman" w:hAnsi="Times New Roman" w:cs="Times New Roman"/>
          <w:sz w:val="24"/>
          <w:szCs w:val="24"/>
          <w:lang w:val="ro-RO"/>
        </w:rPr>
        <w:lastRenderedPageBreak/>
        <w:t>- Entitățile organizatorice din cadrul Autorității Naționale de Reglementare în Domeniul Energiei urmăresc respectarea prevederilor prezentului ordin.</w:t>
      </w:r>
    </w:p>
    <w:p w:rsidR="00BE56D8" w:rsidRPr="00BE56D8" w:rsidRDefault="00BE56D8" w:rsidP="00BE56D8">
      <w:pPr>
        <w:pStyle w:val="ListParagraph"/>
        <w:rPr>
          <w:rFonts w:ascii="Times New Roman" w:hAnsi="Times New Roman" w:cs="Times New Roman"/>
          <w:sz w:val="24"/>
          <w:szCs w:val="24"/>
          <w:lang w:val="ro-RO"/>
        </w:rPr>
      </w:pPr>
    </w:p>
    <w:p w:rsidR="00550DB2" w:rsidRPr="00550DB2" w:rsidRDefault="00550DB2" w:rsidP="00550DB2">
      <w:pPr>
        <w:pStyle w:val="ListParagraph"/>
        <w:numPr>
          <w:ilvl w:val="0"/>
          <w:numId w:val="2"/>
        </w:numPr>
        <w:spacing w:line="360" w:lineRule="auto"/>
        <w:jc w:val="both"/>
        <w:rPr>
          <w:rFonts w:ascii="Times New Roman" w:hAnsi="Times New Roman" w:cs="Times New Roman"/>
          <w:sz w:val="24"/>
          <w:szCs w:val="24"/>
          <w:lang w:val="ro-RO"/>
        </w:rPr>
      </w:pPr>
      <w:r w:rsidRPr="00550DB2">
        <w:rPr>
          <w:rFonts w:ascii="Times New Roman" w:hAnsi="Times New Roman" w:cs="Times New Roman"/>
          <w:sz w:val="24"/>
          <w:szCs w:val="24"/>
          <w:lang w:val="ro-RO"/>
        </w:rPr>
        <w:t xml:space="preserve"> - Prezentul ordin se publică în Monitorul Oficial al României, Partea I.</w:t>
      </w:r>
    </w:p>
    <w:p w:rsidR="00550DB2" w:rsidRPr="00FE6B43" w:rsidRDefault="00D81F10" w:rsidP="00D81F10">
      <w:pPr>
        <w:spacing w:line="360" w:lineRule="auto"/>
        <w:jc w:val="both"/>
        <w:rPr>
          <w:rFonts w:ascii="Times New Roman" w:hAnsi="Times New Roman" w:cs="Times New Roman"/>
          <w:b/>
          <w:sz w:val="24"/>
          <w:szCs w:val="24"/>
        </w:rPr>
      </w:pPr>
      <w:r w:rsidRPr="00FE6B43">
        <w:rPr>
          <w:rFonts w:ascii="Times New Roman" w:hAnsi="Times New Roman" w:cs="Times New Roman"/>
          <w:b/>
          <w:sz w:val="24"/>
          <w:szCs w:val="24"/>
        </w:rPr>
        <w:t>Preşedintele Autorităţii Naţionale de Reglementare în Domeniul Energiei,</w:t>
      </w:r>
    </w:p>
    <w:p w:rsidR="00B55348" w:rsidRPr="00B55348" w:rsidRDefault="00B55348" w:rsidP="00B55348">
      <w:pPr>
        <w:spacing w:after="120"/>
        <w:jc w:val="center"/>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Dumitru Chiriță</w:t>
      </w:r>
    </w:p>
    <w:p w:rsidR="00B55348" w:rsidRPr="00B55348" w:rsidRDefault="00B55348" w:rsidP="00B55348">
      <w:pPr>
        <w:spacing w:after="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 xml:space="preserve">                                                                                                    </w:t>
      </w:r>
    </w:p>
    <w:p w:rsidR="00B55348" w:rsidRDefault="00B55348" w:rsidP="00B55348">
      <w:pPr>
        <w:spacing w:after="0"/>
        <w:ind w:left="5040" w:firstLine="72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 xml:space="preserve">   Vizat pentru legalitate</w:t>
      </w:r>
    </w:p>
    <w:p w:rsidR="00EA7ED5" w:rsidRPr="00B55348" w:rsidRDefault="00EA7ED5" w:rsidP="00B55348">
      <w:pPr>
        <w:spacing w:after="0"/>
        <w:ind w:left="5040" w:firstLine="720"/>
        <w:rPr>
          <w:rFonts w:ascii="Times New Roman" w:eastAsia="Times New Roman" w:hAnsi="Times New Roman" w:cs="Times New Roman"/>
          <w:b/>
          <w:sz w:val="24"/>
          <w:szCs w:val="24"/>
          <w:lang w:val="ro-RO"/>
        </w:rPr>
      </w:pPr>
    </w:p>
    <w:p w:rsidR="00B55348" w:rsidRPr="00B55348" w:rsidRDefault="00B55348" w:rsidP="00B55348">
      <w:pPr>
        <w:spacing w:after="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 xml:space="preserve">Director General </w:t>
      </w:r>
      <w:r w:rsidR="0087740E" w:rsidRPr="00B55348">
        <w:rPr>
          <w:rFonts w:ascii="Times New Roman" w:eastAsia="Times New Roman" w:hAnsi="Times New Roman" w:cs="Times New Roman"/>
          <w:b/>
          <w:sz w:val="24"/>
          <w:szCs w:val="24"/>
          <w:lang w:val="ro-RO"/>
        </w:rPr>
        <w:t>DGEFES</w:t>
      </w:r>
      <w:r w:rsidR="0087740E">
        <w:rPr>
          <w:rFonts w:ascii="Times New Roman" w:eastAsia="Times New Roman" w:hAnsi="Times New Roman" w:cs="Times New Roman"/>
          <w:b/>
          <w:sz w:val="24"/>
          <w:szCs w:val="24"/>
          <w:lang w:val="ro-RO"/>
        </w:rPr>
        <w:t>R</w:t>
      </w:r>
      <w:r w:rsidR="0087740E" w:rsidRPr="00B55348">
        <w:rPr>
          <w:rFonts w:ascii="Times New Roman" w:eastAsia="Times New Roman" w:hAnsi="Times New Roman" w:cs="Times New Roman"/>
          <w:b/>
          <w:sz w:val="24"/>
          <w:szCs w:val="24"/>
          <w:lang w:val="ro-RO"/>
        </w:rPr>
        <w:t>CET</w:t>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t xml:space="preserve">                                    Director DJ</w:t>
      </w:r>
    </w:p>
    <w:p w:rsidR="00B55348" w:rsidRPr="00B55348" w:rsidRDefault="00B55348" w:rsidP="00B55348">
      <w:pPr>
        <w:spacing w:after="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Viorel Alicuş</w:t>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r>
      <w:r w:rsidRPr="00B55348">
        <w:rPr>
          <w:rFonts w:ascii="Times New Roman" w:eastAsia="Times New Roman" w:hAnsi="Times New Roman" w:cs="Times New Roman"/>
          <w:b/>
          <w:sz w:val="24"/>
          <w:szCs w:val="24"/>
          <w:lang w:val="ro-RO"/>
        </w:rPr>
        <w:tab/>
        <w:t>Ana Dumitru</w:t>
      </w:r>
    </w:p>
    <w:p w:rsidR="00B55348" w:rsidRPr="00B55348" w:rsidRDefault="00B55348" w:rsidP="00B55348">
      <w:pPr>
        <w:spacing w:after="0"/>
        <w:rPr>
          <w:rFonts w:ascii="Times New Roman" w:eastAsia="Times New Roman" w:hAnsi="Times New Roman" w:cs="Times New Roman"/>
          <w:b/>
          <w:sz w:val="24"/>
          <w:szCs w:val="24"/>
          <w:lang w:val="ro-RO"/>
        </w:rPr>
      </w:pPr>
    </w:p>
    <w:p w:rsidR="00B55348" w:rsidRPr="00B55348" w:rsidRDefault="00B55348" w:rsidP="00B55348">
      <w:pPr>
        <w:spacing w:after="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Director DPSRCET                                                                           Şef serviciu SL</w:t>
      </w:r>
    </w:p>
    <w:p w:rsidR="00B55348" w:rsidRPr="00B55348" w:rsidRDefault="00B55348" w:rsidP="00B55348">
      <w:pPr>
        <w:spacing w:after="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Răzvan Constantinescu                                                                    Gabriela Fruhn</w:t>
      </w:r>
    </w:p>
    <w:p w:rsidR="00B55348" w:rsidRPr="00B55348" w:rsidRDefault="00B55348" w:rsidP="00B55348">
      <w:pPr>
        <w:spacing w:after="0"/>
        <w:rPr>
          <w:rFonts w:ascii="Times New Roman" w:eastAsia="Times New Roman" w:hAnsi="Times New Roman" w:cs="Times New Roman"/>
          <w:b/>
          <w:sz w:val="24"/>
          <w:szCs w:val="24"/>
          <w:lang w:val="ro-RO"/>
        </w:rPr>
      </w:pPr>
    </w:p>
    <w:p w:rsidR="00B55348" w:rsidRPr="00B55348" w:rsidRDefault="00B55348" w:rsidP="00B55348">
      <w:pPr>
        <w:spacing w:after="0"/>
        <w:ind w:left="720" w:hanging="720"/>
        <w:rPr>
          <w:rFonts w:ascii="Times New Roman" w:eastAsia="Times New Roman" w:hAnsi="Times New Roman" w:cs="Times New Roman"/>
          <w:b/>
          <w:sz w:val="24"/>
          <w:szCs w:val="24"/>
          <w:lang w:val="en-US"/>
        </w:rPr>
      </w:pPr>
      <w:r w:rsidRPr="00B55348">
        <w:rPr>
          <w:rFonts w:ascii="Times New Roman" w:eastAsia="Times New Roman" w:hAnsi="Times New Roman" w:cs="Times New Roman"/>
          <w:b/>
          <w:sz w:val="24"/>
          <w:szCs w:val="24"/>
          <w:lang w:val="en-US"/>
        </w:rPr>
        <w:t>Şef serviciu SPC                                                                               Consilier juridic</w:t>
      </w:r>
    </w:p>
    <w:p w:rsidR="00B55348" w:rsidRPr="00B55348" w:rsidRDefault="00B55348" w:rsidP="00B55348">
      <w:pPr>
        <w:spacing w:after="0"/>
        <w:ind w:left="720" w:hanging="72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en-US"/>
        </w:rPr>
        <w:t>Rodica Manolescu</w:t>
      </w:r>
    </w:p>
    <w:p w:rsidR="00B55348" w:rsidRPr="00B55348" w:rsidRDefault="00B55348" w:rsidP="00B55348">
      <w:pPr>
        <w:spacing w:after="0"/>
        <w:rPr>
          <w:rFonts w:ascii="Times New Roman" w:eastAsia="Times New Roman" w:hAnsi="Times New Roman" w:cs="Times New Roman"/>
          <w:b/>
          <w:sz w:val="24"/>
          <w:szCs w:val="24"/>
          <w:lang w:val="ro-RO"/>
        </w:rPr>
      </w:pPr>
    </w:p>
    <w:p w:rsidR="00B55348" w:rsidRPr="00B55348" w:rsidRDefault="00B55348" w:rsidP="00B55348">
      <w:pPr>
        <w:spacing w:after="0"/>
        <w:ind w:left="720" w:hanging="720"/>
        <w:rPr>
          <w:rFonts w:ascii="Times New Roman" w:eastAsia="Times New Roman" w:hAnsi="Times New Roman" w:cs="Times New Roman"/>
          <w:b/>
          <w:sz w:val="24"/>
          <w:szCs w:val="24"/>
          <w:lang w:val="ro-RO"/>
        </w:rPr>
      </w:pPr>
      <w:r w:rsidRPr="00B55348">
        <w:rPr>
          <w:rFonts w:ascii="Times New Roman" w:eastAsia="Times New Roman" w:hAnsi="Times New Roman" w:cs="Times New Roman"/>
          <w:b/>
          <w:sz w:val="24"/>
          <w:szCs w:val="24"/>
          <w:lang w:val="ro-RO"/>
        </w:rPr>
        <w:t>Expert SPC</w:t>
      </w:r>
    </w:p>
    <w:p w:rsidR="00B55348" w:rsidRPr="00B55348" w:rsidRDefault="00FB4E42" w:rsidP="00B55348">
      <w:pPr>
        <w:spacing w:after="0"/>
        <w:ind w:left="720" w:hanging="720"/>
        <w:rPr>
          <w:rFonts w:ascii="Times New Roman" w:eastAsia="Times New Roman" w:hAnsi="Times New Roman" w:cs="Times New Roman"/>
          <w:b/>
          <w:sz w:val="24"/>
          <w:szCs w:val="24"/>
          <w:lang w:val="ro-RO"/>
        </w:rPr>
      </w:pPr>
      <w:r>
        <w:rPr>
          <w:rFonts w:ascii="Times New Roman" w:eastAsia="Times New Roman" w:hAnsi="Times New Roman" w:cs="Times New Roman"/>
          <w:b/>
          <w:sz w:val="24"/>
          <w:szCs w:val="24"/>
          <w:lang w:val="ro-RO"/>
        </w:rPr>
        <w:t>Cristian Stroia</w:t>
      </w:r>
    </w:p>
    <w:p w:rsidR="00D81F10" w:rsidRPr="00E534BD" w:rsidRDefault="00D81F10" w:rsidP="00D81F10">
      <w:pPr>
        <w:spacing w:line="360" w:lineRule="auto"/>
        <w:jc w:val="both"/>
        <w:rPr>
          <w:rFonts w:ascii="Times New Roman" w:hAnsi="Times New Roman" w:cs="Times New Roman"/>
          <w:sz w:val="24"/>
          <w:szCs w:val="24"/>
          <w:lang w:val="ro-RO"/>
        </w:rPr>
      </w:pPr>
    </w:p>
    <w:sectPr w:rsidR="00D81F10" w:rsidRPr="00E534BD">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A27" w:rsidRDefault="006F3A27" w:rsidP="00BE56D8">
      <w:pPr>
        <w:spacing w:after="0" w:line="240" w:lineRule="auto"/>
      </w:pPr>
      <w:r>
        <w:separator/>
      </w:r>
    </w:p>
  </w:endnote>
  <w:endnote w:type="continuationSeparator" w:id="0">
    <w:p w:rsidR="006F3A27" w:rsidRDefault="006F3A27" w:rsidP="00BE5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6086704"/>
      <w:docPartObj>
        <w:docPartGallery w:val="Page Numbers (Bottom of Page)"/>
        <w:docPartUnique/>
      </w:docPartObj>
    </w:sdtPr>
    <w:sdtEndPr>
      <w:rPr>
        <w:noProof/>
      </w:rPr>
    </w:sdtEndPr>
    <w:sdtContent>
      <w:p w:rsidR="00BE56D8" w:rsidRDefault="00BE56D8">
        <w:pPr>
          <w:pStyle w:val="Footer"/>
          <w:jc w:val="center"/>
        </w:pPr>
        <w:r>
          <w:fldChar w:fldCharType="begin"/>
        </w:r>
        <w:r>
          <w:instrText xml:space="preserve"> PAGE   \* MERGEFORMAT </w:instrText>
        </w:r>
        <w:r>
          <w:fldChar w:fldCharType="separate"/>
        </w:r>
        <w:r w:rsidR="004A6EB4">
          <w:rPr>
            <w:noProof/>
          </w:rPr>
          <w:t>3</w:t>
        </w:r>
        <w:r>
          <w:rPr>
            <w:noProof/>
          </w:rPr>
          <w:fldChar w:fldCharType="end"/>
        </w:r>
      </w:p>
    </w:sdtContent>
  </w:sdt>
  <w:p w:rsidR="00BE56D8" w:rsidRDefault="00BE56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A27" w:rsidRDefault="006F3A27" w:rsidP="00BE56D8">
      <w:pPr>
        <w:spacing w:after="0" w:line="240" w:lineRule="auto"/>
      </w:pPr>
      <w:r>
        <w:separator/>
      </w:r>
    </w:p>
  </w:footnote>
  <w:footnote w:type="continuationSeparator" w:id="0">
    <w:p w:rsidR="006F3A27" w:rsidRDefault="006F3A27" w:rsidP="00BE5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36CC5"/>
    <w:multiLevelType w:val="hybridMultilevel"/>
    <w:tmpl w:val="D58E68B4"/>
    <w:lvl w:ilvl="0" w:tplc="88C449E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813E84"/>
    <w:multiLevelType w:val="hybridMultilevel"/>
    <w:tmpl w:val="AD365C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57C35A2"/>
    <w:multiLevelType w:val="hybridMultilevel"/>
    <w:tmpl w:val="EAECFD4E"/>
    <w:lvl w:ilvl="0" w:tplc="2564D144">
      <w:start w:val="1"/>
      <w:numFmt w:val="upperRoman"/>
      <w:lvlText w:val="Art.%1.  "/>
      <w:lvlJc w:val="left"/>
      <w:pPr>
        <w:ind w:left="720" w:hanging="360"/>
      </w:pPr>
      <w:rPr>
        <w:rFonts w:ascii="Times New Roman" w:hAnsi="Times New Roman" w:cs="Times New Roman" w:hint="default"/>
        <w:b/>
        <w:bCs w:val="0"/>
        <w:i w:val="0"/>
        <w:iCs w:val="0"/>
        <w:strike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D69"/>
    <w:rsid w:val="00080F4A"/>
    <w:rsid w:val="000B6EB8"/>
    <w:rsid w:val="000F7EDB"/>
    <w:rsid w:val="00102B49"/>
    <w:rsid w:val="001669B9"/>
    <w:rsid w:val="001934CF"/>
    <w:rsid w:val="0019765A"/>
    <w:rsid w:val="001D6258"/>
    <w:rsid w:val="002700DE"/>
    <w:rsid w:val="002D121C"/>
    <w:rsid w:val="002E13A5"/>
    <w:rsid w:val="003172AB"/>
    <w:rsid w:val="003526D9"/>
    <w:rsid w:val="003B7B54"/>
    <w:rsid w:val="003D1684"/>
    <w:rsid w:val="00412486"/>
    <w:rsid w:val="00430715"/>
    <w:rsid w:val="004516E9"/>
    <w:rsid w:val="00452D69"/>
    <w:rsid w:val="00453099"/>
    <w:rsid w:val="004A6EB4"/>
    <w:rsid w:val="005027F5"/>
    <w:rsid w:val="00550DB2"/>
    <w:rsid w:val="00551934"/>
    <w:rsid w:val="00551DAD"/>
    <w:rsid w:val="0055206B"/>
    <w:rsid w:val="005C07EA"/>
    <w:rsid w:val="005C37F8"/>
    <w:rsid w:val="005D0DEA"/>
    <w:rsid w:val="0060697B"/>
    <w:rsid w:val="00635C0A"/>
    <w:rsid w:val="006B026F"/>
    <w:rsid w:val="006B75DD"/>
    <w:rsid w:val="006D6445"/>
    <w:rsid w:val="006E639F"/>
    <w:rsid w:val="006F3A27"/>
    <w:rsid w:val="00700536"/>
    <w:rsid w:val="00743A13"/>
    <w:rsid w:val="0074492F"/>
    <w:rsid w:val="00765F13"/>
    <w:rsid w:val="007A067D"/>
    <w:rsid w:val="007B4823"/>
    <w:rsid w:val="00841405"/>
    <w:rsid w:val="00870D9B"/>
    <w:rsid w:val="0087740E"/>
    <w:rsid w:val="00885257"/>
    <w:rsid w:val="008A74F7"/>
    <w:rsid w:val="008B760E"/>
    <w:rsid w:val="008C6B40"/>
    <w:rsid w:val="00913341"/>
    <w:rsid w:val="009133A9"/>
    <w:rsid w:val="009341A8"/>
    <w:rsid w:val="00952F8E"/>
    <w:rsid w:val="00957638"/>
    <w:rsid w:val="009770D2"/>
    <w:rsid w:val="009A054B"/>
    <w:rsid w:val="009B3087"/>
    <w:rsid w:val="009C739C"/>
    <w:rsid w:val="009D3509"/>
    <w:rsid w:val="009F3A02"/>
    <w:rsid w:val="00A36279"/>
    <w:rsid w:val="00A80C36"/>
    <w:rsid w:val="00A922B1"/>
    <w:rsid w:val="00AD128D"/>
    <w:rsid w:val="00AF133C"/>
    <w:rsid w:val="00AF275B"/>
    <w:rsid w:val="00B55348"/>
    <w:rsid w:val="00BA5D8D"/>
    <w:rsid w:val="00BE56D8"/>
    <w:rsid w:val="00C15959"/>
    <w:rsid w:val="00C4059B"/>
    <w:rsid w:val="00C472F6"/>
    <w:rsid w:val="00C51BCC"/>
    <w:rsid w:val="00C654F3"/>
    <w:rsid w:val="00C9672F"/>
    <w:rsid w:val="00CC7013"/>
    <w:rsid w:val="00CF75BB"/>
    <w:rsid w:val="00D37BFF"/>
    <w:rsid w:val="00D81F10"/>
    <w:rsid w:val="00DC5E50"/>
    <w:rsid w:val="00E13578"/>
    <w:rsid w:val="00E439E5"/>
    <w:rsid w:val="00E44751"/>
    <w:rsid w:val="00E534BD"/>
    <w:rsid w:val="00E56B44"/>
    <w:rsid w:val="00E75A35"/>
    <w:rsid w:val="00EA7ED5"/>
    <w:rsid w:val="00EB1D00"/>
    <w:rsid w:val="00F1207D"/>
    <w:rsid w:val="00F70846"/>
    <w:rsid w:val="00FB4E42"/>
    <w:rsid w:val="00FD341A"/>
    <w:rsid w:val="00FD7279"/>
    <w:rsid w:val="00FD7466"/>
    <w:rsid w:val="00FE6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5633A6-ED30-4473-B83D-B1703EFEE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52D6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52D69"/>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0B6EB8"/>
    <w:pPr>
      <w:ind w:left="720"/>
      <w:contextualSpacing/>
    </w:pPr>
  </w:style>
  <w:style w:type="paragraph" w:styleId="BalloonText">
    <w:name w:val="Balloon Text"/>
    <w:basedOn w:val="Normal"/>
    <w:link w:val="BalloonTextChar"/>
    <w:uiPriority w:val="99"/>
    <w:semiHidden/>
    <w:unhideWhenUsed/>
    <w:rsid w:val="0055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0DB2"/>
    <w:rPr>
      <w:rFonts w:ascii="Tahoma" w:hAnsi="Tahoma" w:cs="Tahoma"/>
      <w:sz w:val="16"/>
      <w:szCs w:val="16"/>
    </w:rPr>
  </w:style>
  <w:style w:type="paragraph" w:styleId="Header">
    <w:name w:val="header"/>
    <w:basedOn w:val="Normal"/>
    <w:link w:val="HeaderChar"/>
    <w:uiPriority w:val="99"/>
    <w:unhideWhenUsed/>
    <w:rsid w:val="00BE56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6D8"/>
  </w:style>
  <w:style w:type="paragraph" w:styleId="Footer">
    <w:name w:val="footer"/>
    <w:basedOn w:val="Normal"/>
    <w:link w:val="FooterChar"/>
    <w:uiPriority w:val="99"/>
    <w:unhideWhenUsed/>
    <w:rsid w:val="00BE56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6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dcterms:created xsi:type="dcterms:W3CDTF">2018-11-02T08:17:00Z</dcterms:created>
  <dcterms:modified xsi:type="dcterms:W3CDTF">2018-11-02T08:17:00Z</dcterms:modified>
</cp:coreProperties>
</file>